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609 ГК РФ &gt;&gt;&gt;</w:t>
      </w:r>
    </w:p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609 ГК РФ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договор аренды недвижимости, заключенный на неопределенный срок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договор аренды недвижимости, заключенный с 1-го числа месяца текущего года по последнее число предыдущего месяца следующего года или с одного числа месяца текущего года по предшествующее число этого месяца следующего года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дополнительные соглашения к договору аренды, заключенному до даты вступления в силу норм о порядке регистрации недвижимости, если сами соглашения подписаны после этой даты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недействительным договор аренды, подлежащий госрегистрации, при ее отсутствии</w:t>
      </w:r>
    </w:p>
    <w:p>
      <w:pPr>
        <w:spacing w:after="120"/>
        <w:ind w:firstLine="709"/>
      </w:pPr>
      <w:r>
        <w:rPr>
          <w:sz w:val="24"/>
        </w:rPr>
        <w:t xml:space="preserve">- Действительно ли дополнительное соглашение о продлении срока действия договора аренды, подлежащего госрегистрации, если оно не было зарегистрировано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соглашения о переводе прав и обязанностей по договору аренды недвижимости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продление договора аренды, если в нем установлено, что по истечении срока его действия он считается продленным на тех же условиях на тот же срок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договор уступки права получения платежей по зарегистрированному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Нужно ли для госрегистрации прекращения обременения объекта недвижимости арендой представлять в регистрирующий орган документы о том, что истекший договор аренды не возобновился на неопределенный срок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изменение арендной платы в договоре аренды в соответствии с предусмотренным в нем механизмом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609 ГК РФ</w:t>
      </w:r>
    </w:p>
    <w:p>
      <w:pPr>
        <w:spacing w:after="120"/>
        <w:ind w:firstLine="709"/>
      </w:pPr>
      <w:r>
        <w:rPr>
          <w:sz w:val="24"/>
        </w:rPr>
        <w:t xml:space="preserve">1. Договор аренды на срок более года, а если хотя бы одной из сторон договора является юридическое лицо, независимо от срока,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Договор аренды недвижимого имущества подлежит государственной регистрации,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3. Договор аренды имущества, предусматривающий переход в последующем права собственности на это имущество к арендатору (статья 624) , заключается в форме, предусмотренной для договора купли-продажи такого имущества.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609</dc:title>
  <dc:creator>АРБИТРАЖ! · arbi.ru</dc:creator>
  <cp:lastModifiedBy>АРБИТРАЖ!</cp:lastModifiedBy>
  <dcterms:created xsi:type="dcterms:W3CDTF">2026-10-22T20:25:15.337Z</dcterms:created>
</cp:coreProperties>
</file>