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613 ГК РФ</w:t>
      </w:r>
    </w:p>
    <w:p>
      <w:pPr>
        <w:spacing w:after="120"/>
        <w:ind w:firstLine="709"/>
      </w:pPr>
      <w:r>
        <w:rPr>
          <w:sz w:val="24"/>
        </w:rPr>
        <w:t xml:space="preserve">- Вправе ли собственник здания, в пользу которого установлен сервитут проезда, предъявить негаторный иск к арендатору по договору аренды для устранения препятствий проезду</w:t>
      </w:r>
    </w:p>
    <w:p>
      <w:pPr>
        <w:spacing w:after="120"/>
        <w:ind w:firstLine="709"/>
      </w:pPr>
      <w:r>
        <w:rPr>
          <w:sz w:val="24"/>
        </w:rPr>
        <w:t xml:space="preserve">Передача имущества в аренду не является основанием для прекращения или изменения прав третьих лиц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При заключении договора аренды арендодатель обязан предупредить арендатора о всех правах третьих лиц на сдаваемое в аренду имущество (сервитуте, праве залога и т.п.).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613</dc:title>
  <dc:creator>АРБИТРАЖ! · arbi.ru</dc:creator>
  <cp:lastModifiedBy>АРБИТРАЖ!</cp:lastModifiedBy>
  <dcterms:created xsi:type="dcterms:W3CDTF">2026-10-23T15:32:56.147Z</dcterms:created>
</cp:coreProperties>
</file>