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625 ГК РФ</w:t>
      </w:r>
    </w:p>
    <w:p>
      <w:pPr>
        <w:spacing w:after="120"/>
        <w:ind w:firstLine="709"/>
      </w:pPr>
      <w:r>
        <w:rPr>
          <w:sz w:val="24"/>
        </w:rPr>
        <w:t xml:space="preserve">- Лизингодатель хочет расторгнуть договор и возвратить предмет лизинга в связи с невнесением лизингополучателем лизинговых платежей более двух раз подряд</w:t>
      </w:r>
    </w:p>
    <w:p>
      <w:pPr>
        <w:spacing w:after="120"/>
        <w:ind w:firstLine="709"/>
      </w:pPr>
      <w:r>
        <w:rPr>
          <w:sz w:val="24"/>
        </w:rPr>
        <w:t xml:space="preserve">К отдельным видам договора аренды и договорам аренды отдельных видов имущества (прокат, аренда транспортных средств, аренда зданий и сооружений, аренда предприятий, финансовая аренда) положения, предусмотренные настоящим параграфом, применяются, если иное не установлено правилами настоящего Кодекса об этих договорах.</w:t>
      </w:r>
    </w:p>
    <w:p/>
    <w:p>
      <w:pPr>
        <w:spacing w:after="120"/>
        <w:ind w:firstLine="709"/>
      </w:pPr>
      <w:r>
        <w:rPr>
          <w:sz w:val="24"/>
        </w:rPr>
        <w:t xml:space="preserve">§ 2. Прокат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625</dc:title>
  <dc:creator>АРБИТРАЖ! · arbi.ru</dc:creator>
  <cp:lastModifiedBy>АРБИТРАЖ!</cp:lastModifiedBy>
  <dcterms:created xsi:type="dcterms:W3CDTF">2026-10-22T20:25:14.335Z</dcterms:created>
</cp:coreProperties>
</file>