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627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Договор проката заключается на срок до одного года.</w:t>
      </w:r>
    </w:p>
    <w:p>
      <w:pPr>
        <w:spacing w:after="120"/>
        <w:ind w:firstLine="709"/>
      </w:pPr>
      <w:r>
        <w:rPr>
          <w:sz w:val="24"/>
        </w:rPr>
        <w:t xml:space="preserve">2. Правила о возобновлении договора аренды на неопределенный срок и о преимущественном праве арендатора на возобновление договора аренды (статья 621) к договору проката не применяются.</w:t>
      </w:r>
    </w:p>
    <w:p>
      <w:pPr>
        <w:spacing w:after="120"/>
        <w:ind w:firstLine="709"/>
      </w:pPr>
      <w:r>
        <w:rPr>
          <w:sz w:val="24"/>
        </w:rPr>
        <w:t xml:space="preserve">3. Арендатор вправе отказаться от договора проката в любое время, письменно предупредив о своем намерении арендодателя не менее чем за десять дней.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627</dc:title>
  <dc:creator>АРБИТРАЖ! · arbi.ru</dc:creator>
  <cp:lastModifiedBy>АРБИТРАЖ!</cp:lastModifiedBy>
  <dcterms:created xsi:type="dcterms:W3CDTF">2026-10-23T18:26:55.585Z</dcterms:created>
</cp:coreProperties>
</file>