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630 ГК РФ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взыскать задолженность по арендной плате по договору проката</w:t>
      </w:r>
    </w:p>
    <w:p>
      <w:pPr>
        <w:spacing w:after="120"/>
        <w:ind w:firstLine="709"/>
      </w:pPr>
      <w:r>
        <w:rPr>
          <w:sz w:val="24"/>
        </w:rPr>
        <w:t xml:space="preserve">1. Арендная плата по договору проката устанавливается в виде определенных в твердой сумме платежей, вносимых периодически или единовременно.</w:t>
      </w:r>
    </w:p>
    <w:p>
      <w:pPr>
        <w:spacing w:after="120"/>
        <w:ind w:firstLine="709"/>
      </w:pPr>
      <w:r>
        <w:rPr>
          <w:sz w:val="24"/>
        </w:rPr>
        <w:t xml:space="preserve">2. В случае досрочного возврата имущества арендатором арендодатель возвращает ему соответствующую часть полученной арендной платы, исчисляя ее со дня, следующего за днем фактического возврата имущества.</w:t>
      </w:r>
    </w:p>
    <w:p>
      <w:pPr>
        <w:spacing w:after="120"/>
        <w:ind w:firstLine="709"/>
      </w:pPr>
      <w:r>
        <w:rPr>
          <w:sz w:val="24"/>
        </w:rPr>
        <w:t xml:space="preserve">3. Взыскание с арендатора задолженности по арендной плате производится в бесспорном порядке на основе исполнительной надписи нотариуса.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630</dc:title>
  <dc:creator>АРБИТРАЖ! · arbi.ru</dc:creator>
  <cp:lastModifiedBy>АРБИТРАЖ!</cp:lastModifiedBy>
  <dcterms:created xsi:type="dcterms:W3CDTF">2026-10-22T20:25:16.837Z</dcterms:created>
</cp:coreProperties>
</file>