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Капитальный и текущий ремонт имущества, сданного в аренду по договору проката, является обязанностью арендодателя.</w:t>
      </w:r>
    </w:p>
    <w:p>
      <w:pPr>
        <w:spacing w:after="120"/>
        <w:ind w:firstLine="709"/>
      </w:pPr>
      <w:r>
        <w:rPr>
          <w:sz w:val="24"/>
        </w:rPr>
        <w:t xml:space="preserve">2. Сдача в субаренду имущества, предоставленного арендатору по договору проката, передача им своих прав и обязанностей по договору проката другому лицу, предоставление этого имущества в безвозмездное пользование,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допускаются.</w:t>
      </w:r>
    </w:p>
    <w:p/>
    <w:p>
      <w:pPr>
        <w:spacing w:after="120"/>
        <w:ind w:firstLine="709"/>
      </w:pPr>
      <w:r>
        <w:rPr>
          <w:sz w:val="24"/>
        </w:rPr>
        <w:t xml:space="preserve">§ 3. Аренда транспортных средств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631</dc:title>
  <dc:creator>АРБИТРАЖ! · arbi.ru</dc:creator>
  <cp:lastModifiedBy>АРБИТРАЖ!</cp:lastModifiedBy>
  <dcterms:created xsi:type="dcterms:W3CDTF">2026-10-22T20:26:54.051Z</dcterms:created>
</cp:coreProperties>
</file>