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632 ГК РФ</w:t>
      </w:r>
    </w:p>
    <w:p>
      <w:pPr>
        <w:spacing w:after="120"/>
        <w:ind w:firstLine="709"/>
      </w:pPr>
      <w:r>
        <w:rPr>
          <w:sz w:val="24"/>
        </w:rPr>
        <w:t xml:space="preserve">- Можно ли признать договор аренды транспортного средства с экипажем консенсуальным договором</w:t>
      </w:r>
    </w:p>
    <w:p>
      <w:pPr>
        <w:spacing w:after="120"/>
        <w:ind w:firstLine="709"/>
      </w:pPr>
      <w:r>
        <w:rPr>
          <w:sz w:val="24"/>
        </w:rPr>
        <w:t xml:space="preserve">- Как квалифицируется договор на предоставление строительной техники с экипажем</w:t>
      </w:r>
    </w:p>
    <w:p>
      <w:pPr>
        <w:spacing w:after="120"/>
        <w:ind w:firstLine="709"/>
      </w:pPr>
      <w:r>
        <w:rPr>
          <w:sz w:val="24"/>
        </w:rPr>
        <w:t xml:space="preserve">- Признается ли объект аренды транспортным средством, если он зарегистрирован в Гостехнадзоре</w:t>
      </w:r>
    </w:p>
    <w:p>
      <w:pPr>
        <w:spacing w:after="120"/>
        <w:ind w:firstLine="709"/>
      </w:pPr>
      <w:r>
        <w:rPr>
          <w:sz w:val="24"/>
        </w:rPr>
        <w:t xml:space="preserve">- Необходимо ли указывать марку, тип, модель и другие данные ТС в договоре аренды ТС с экипажем</w:t>
      </w:r>
    </w:p>
    <w:p>
      <w:pPr>
        <w:spacing w:after="120"/>
        <w:ind w:firstLine="709"/>
      </w:pPr>
      <w:r>
        <w:rPr>
          <w:sz w:val="24"/>
        </w:rPr>
        <w:t xml:space="preserve">- Является ли размер арендной платы существенным условием договора аренды ТС с экипажем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632 ГК РФ</w:t>
      </w:r>
    </w:p>
    <w:p>
      <w:pPr>
        <w:spacing w:after="120"/>
        <w:ind w:firstLine="709"/>
      </w:pPr>
      <w:r>
        <w:rPr>
          <w:sz w:val="24"/>
        </w:rPr>
        <w:t xml:space="preserve">По договору аренды (фрахтования на время)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эксплуатации.</w:t>
      </w:r>
    </w:p>
    <w:p>
      <w:pPr>
        <w:spacing w:after="120"/>
        <w:ind w:firstLine="709"/>
      </w:pPr>
      <w:r>
        <w:rPr>
          <w:sz w:val="24"/>
        </w:rPr>
        <w:t xml:space="preserve">Правила о возобновлении договора аренды на неопределенный срок и о преимущественном праве арендатора на заключение договора аренды на новый срок (статья 621) к договору аренды транспортного средства с экипажем не применяются.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632</dc:title>
  <dc:creator>АРБИТРАЖ! · arbi.ru</dc:creator>
  <cp:lastModifiedBy>АРБИТРАЖ!</cp:lastModifiedBy>
  <dcterms:created xsi:type="dcterms:W3CDTF">2026-10-22T20:26:32.993Z</dcterms:created>
</cp:coreProperties>
</file>