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633 ГК РФ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обмен документами, что письменная форма при заключении договора аренды ТС с экипажем соблюдена</w:t>
      </w:r>
    </w:p>
    <w:p>
      <w:pPr>
        <w:spacing w:after="120"/>
        <w:ind w:firstLine="709"/>
      </w:pPr>
      <w:r>
        <w:rPr>
          <w:sz w:val="24"/>
        </w:rPr>
        <w:t xml:space="preserve">- Подлежит ли договор аренды морского судна государственной регистрации</w:t>
      </w:r>
    </w:p>
    <w:p>
      <w:pPr>
        <w:spacing w:after="120"/>
        <w:ind w:firstLine="709"/>
      </w:pPr>
      <w:r>
        <w:rPr>
          <w:sz w:val="24"/>
        </w:rPr>
        <w:t xml:space="preserve">Договор аренды транспортного средства с экипажем должен быть заключен в письменной форме независимо от его срока. К такому договору не применяются правила о регистрации договоров аренды, предусмотренные пунктом 2 статьи 609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633</dc:title>
  <dc:creator>АРБИТРАЖ! · arbi.ru</dc:creator>
  <cp:lastModifiedBy>АРБИТРАЖ!</cp:lastModifiedBy>
  <dcterms:created xsi:type="dcterms:W3CDTF">2026-10-22T20:25:05.313Z</dcterms:created>
</cp:coreProperties>
</file>