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636 ГК РФ</w:t>
      </w:r>
    </w:p>
    <w:p>
      <w:pPr>
        <w:spacing w:after="120"/>
        <w:ind w:firstLine="709"/>
      </w:pPr>
      <w:r>
        <w:rPr>
          <w:sz w:val="24"/>
        </w:rPr>
        <w:t xml:space="preserve">- Могут ли расходы арендодателя на ГСМ включаться в состав арендной платы</w:t>
      </w:r>
    </w:p>
    <w:p>
      <w:pPr>
        <w:spacing w:after="120"/>
        <w:ind w:firstLine="709"/>
      </w:pPr>
      <w:r>
        <w:rPr>
          <w:sz w:val="24"/>
        </w:rPr>
        <w:t xml:space="preserve">- Является ли возложение на арендодателя расходов по коммерческой эксплуатации ТС признаком договора фрахтования</w:t>
      </w:r>
    </w:p>
    <w:p>
      <w:pPr>
        <w:spacing w:after="120"/>
        <w:ind w:firstLine="709"/>
      </w:pPr>
      <w:r>
        <w:rPr>
          <w:sz w:val="24"/>
        </w:rPr>
        <w:t xml:space="preserve">- Можно ли арендодателю удерживать ГСМ арендатора в счет погашения долга по аренде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 аренды транспортного средства с экипажем, арендатор несет расходы, возникающие в связи с коммерческой эксплуатацией транспортного средства, в том числе расходы на оплату топлива и других расходуемых в процессе эксплуатации материалов и на оплату сборов.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636</dc:title>
  <dc:creator>АРБИТРАЖ! · arbi.ru</dc:creator>
  <cp:lastModifiedBy>АРБИТРАЖ!</cp:lastModifiedBy>
  <dcterms:created xsi:type="dcterms:W3CDTF">2026-10-22T20:25:03.308Z</dcterms:created>
</cp:coreProperties>
</file>