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638 ГК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ничтожным договор субаренды ТС с экипажем, если в договоре аренды субаренда запрещена</w:t>
      </w:r>
    </w:p>
    <w:p>
      <w:pPr>
        <w:spacing w:after="120"/>
        <w:ind w:firstLine="709"/>
      </w:pPr>
      <w:r>
        <w:rPr>
          <w:sz w:val="24"/>
        </w:rPr>
        <w:t xml:space="preserve">1. Если договором аренды транспортного средства с экипажем не предусмотрено иное, арендатор вправе без согласия арендодателя сдавать транспортное средство в субаренду.</w:t>
      </w:r>
    </w:p>
    <w:p>
      <w:pPr>
        <w:spacing w:after="120"/>
        <w:ind w:firstLine="709"/>
      </w:pPr>
      <w:r>
        <w:rPr>
          <w:sz w:val="24"/>
        </w:rPr>
        <w:t xml:space="preserve">2.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договоры, если они не противоречат целям использования транспортного средства, указанным в договоре аренды, а если такие цели не установлены, назначению транспортного средства.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638</dc:title>
  <dc:creator>АРБИТРАЖ! · arbi.ru</dc:creator>
  <cp:lastModifiedBy>АРБИТРАЖ!</cp:lastModifiedBy>
  <dcterms:created xsi:type="dcterms:W3CDTF">2026-10-22T22:35:53.199Z</dcterms:created>
</cp:coreProperties>
</file>