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639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639 ГК РФ</w:t>
      </w:r>
    </w:p>
    <w:p>
      <w:pPr>
        <w:spacing w:after="120"/>
        <w:ind w:firstLine="709"/>
      </w:pPr>
      <w:r>
        <w:rPr>
          <w:sz w:val="24"/>
        </w:rPr>
        <w:t xml:space="preserve">- Ответственен ли арендатор за повреждение ТС по вине работников арендодателя</w:t>
      </w:r>
    </w:p>
    <w:p>
      <w:pPr>
        <w:spacing w:after="120"/>
        <w:ind w:firstLine="709"/>
      </w:pPr>
      <w:r>
        <w:rPr>
          <w:sz w:val="24"/>
        </w:rPr>
        <w:t xml:space="preserve">В случае гибели или повреждения арендованного транспортного средства арендатор обязан возместить арендодателю причиненные убытки, если последний докажет, что гибель или повреждение транспортного средства произошли по обстоятельствам, за которые арендатор отвечает в соответствии с законом или договором аренды.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639</dc:title>
  <dc:creator>АРБИТРАЖ! · arbi.ru</dc:creator>
  <cp:lastModifiedBy>АРБИТРАЖ!</cp:lastModifiedBy>
  <dcterms:created xsi:type="dcterms:W3CDTF">2026-10-22T20:26:34.997Z</dcterms:created>
</cp:coreProperties>
</file>