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642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арендная плата существенным условием договора аренды ТС без экипажа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аренды ТС без экипажа консенсуальным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642 ГК РФ</w:t>
      </w:r>
    </w:p>
    <w:p>
      <w:pPr>
        <w:spacing w:after="120"/>
        <w:ind w:firstLine="709"/>
      </w:pPr>
      <w:r>
        <w:rPr>
          <w:sz w:val="24"/>
        </w:rPr>
        <w:t xml:space="preserve">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эксплуатации.</w:t>
      </w:r>
    </w:p>
    <w:p>
      <w:pPr>
        <w:spacing w:after="120"/>
        <w:ind w:firstLine="709"/>
      </w:pPr>
      <w:r>
        <w:rPr>
          <w:sz w:val="24"/>
        </w:rPr>
        <w:t xml:space="preserve">Правила о возобновлении договора аренды на неопределенный срок и о преимущественном праве арендатора на заключение договора аренды на новый срок (статья 621) к договору аренды транспортного средства без экипажа не применяются.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642</dc:title>
  <dc:creator>АРБИТРАЖ! · arbi.ru</dc:creator>
  <cp:lastModifiedBy>АРБИТРАЖ!</cp:lastModifiedBy>
  <dcterms:created xsi:type="dcterms:W3CDTF">2026-10-22T10:18:21.434Z</dcterms:created>
</cp:coreProperties>
</file>