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643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643 ГК РФ</w:t>
      </w:r>
    </w:p>
    <w:p>
      <w:pPr>
        <w:spacing w:after="120"/>
        <w:ind w:firstLine="709"/>
      </w:pPr>
      <w:r>
        <w:rPr>
          <w:sz w:val="24"/>
        </w:rPr>
        <w:t xml:space="preserve">- Может ли акт приема-передачи ТС быть признан договором аренды без экипажа</w:t>
      </w:r>
    </w:p>
    <w:p>
      <w:pPr>
        <w:spacing w:after="120"/>
        <w:ind w:firstLine="709"/>
      </w:pPr>
      <w:r>
        <w:rPr>
          <w:sz w:val="24"/>
        </w:rPr>
        <w:t xml:space="preserve">- Нужно ли регистрировать договор аренды воздушного судна и порождаемое им обременение</w:t>
      </w:r>
    </w:p>
    <w:p>
      <w:pPr>
        <w:spacing w:after="120"/>
        <w:ind w:firstLine="709"/>
      </w:pPr>
      <w:r>
        <w:rPr>
          <w:sz w:val="24"/>
        </w:rPr>
        <w:t xml:space="preserve">Договор аренды транспортного средства без экипажа должен быть заключен в письменной форме независимо от его срока. К такому договору не применяются правила о регистрации договоров аренды, предусмотренные пунктом 2 статьи 609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643</dc:title>
  <dc:creator>АРБИТРАЖ! · arbi.ru</dc:creator>
  <cp:lastModifiedBy>АРБИТРАЖ!</cp:lastModifiedBy>
  <dcterms:created xsi:type="dcterms:W3CDTF">2026-10-22T20:26:29.481Z</dcterms:created>
</cp:coreProperties>
</file>