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644 ГК РФ</w:t>
      </w:r>
    </w:p>
    <w:p>
      <w:pPr>
        <w:spacing w:after="120"/>
        <w:ind w:firstLine="709"/>
      </w:pPr>
      <w:r>
        <w:rPr>
          <w:sz w:val="24"/>
        </w:rPr>
        <w:t xml:space="preserve">- Можно ли договором аренды ТС без экипажа возлагать обязанности по содержанию ТС на арендодателя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644 ГК РФ</w:t>
      </w:r>
    </w:p>
    <w:p>
      <w:pPr>
        <w:spacing w:after="120"/>
        <w:ind w:firstLine="709"/>
      </w:pPr>
      <w:r>
        <w:rPr>
          <w:sz w:val="24"/>
        </w:rPr>
        <w:t xml:space="preserve">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средства, включая осуществление текущего и капитального ремонта.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644</dc:title>
  <dc:creator>АРБИТРАЖ! · arbi.ru</dc:creator>
  <cp:lastModifiedBy>АРБИТРАЖ!</cp:lastModifiedBy>
  <dcterms:created xsi:type="dcterms:W3CDTF">2026-10-22T20:26:17.950Z</dcterms:created>
</cp:coreProperties>
</file>