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646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646 ГК РФ</w:t>
      </w:r>
    </w:p>
    <w:p>
      <w:pPr>
        <w:spacing w:after="120"/>
        <w:ind w:firstLine="709"/>
      </w:pPr>
      <w:r>
        <w:rPr>
          <w:sz w:val="24"/>
        </w:rPr>
        <w:t xml:space="preserve">- Обязан ли арендатор страховать ответственность, если у арендодателя есть неограниченный полис ОСАГО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646 ГК РФ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договором аренды транспортного средства без экипажа, арендатор несет расходы на содержание арендованного транспортного средства, его страхование, включая страхование своей ответственности, а также расходы, возникающие в связи с его эксплуатацией.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646</dc:title>
  <dc:creator>АРБИТРАЖ! · arbi.ru</dc:creator>
  <cp:lastModifiedBy>АРБИТРАЖ!</cp:lastModifiedBy>
  <dcterms:created xsi:type="dcterms:W3CDTF">2026-10-22T16:47:16.246Z</dcterms:created>
</cp:coreProperties>
</file>