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647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договором аренды транспортного средства без экипажа не предусмотрено иное, 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экипажа.</w:t>
      </w:r>
    </w:p>
    <w:p>
      <w:pPr>
        <w:spacing w:after="120"/>
        <w:ind w:firstLine="709"/>
      </w:pPr>
      <w:r>
        <w:rPr>
          <w:sz w:val="24"/>
        </w:rPr>
        <w:t xml:space="preserve">2. Арендатор вправе без согласия арендодателя от своего имени заключать с третьими лицами договоры перевозки и иные договоры, если они не противоречат целям использования транспортного средства, указанным в договоре аренды, а если такие цели не установлены, назначению транспортного средства.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647</dc:title>
  <dc:creator>АРБИТРАЖ! · arbi.ru</dc:creator>
  <cp:lastModifiedBy>АРБИТРАЖ!</cp:lastModifiedBy>
  <dcterms:created xsi:type="dcterms:W3CDTF">2026-10-22T16:47:12.711Z</dcterms:created>
</cp:coreProperties>
</file>