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648 ГК РФ</w:t>
      </w:r>
    </w:p>
    <w:p>
      <w:pPr>
        <w:spacing w:after="120"/>
        <w:ind w:firstLine="709"/>
      </w:pPr>
      <w:r>
        <w:rPr>
          <w:sz w:val="24"/>
        </w:rPr>
        <w:t xml:space="preserve">- Несет ли арендатор ответственность за вред, причиненный управлявшим ТС арендодателем как работником арендатора</w:t>
      </w:r>
    </w:p>
    <w:p>
      <w:pPr>
        <w:spacing w:after="120"/>
        <w:ind w:firstLine="709"/>
      </w:pPr>
      <w:r>
        <w:rPr>
          <w:sz w:val="24"/>
        </w:rPr>
        <w:t xml:space="preserve">Ответственность за вред, причиненный третьим лицам транспортным средством, его механизмами, устройствами, оборудованием, несет арендатор в соответствии с правилами главы 59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648</dc:title>
  <dc:creator>АРБИТРАЖ! · arbi.ru</dc:creator>
  <cp:lastModifiedBy>АРБИТРАЖ!</cp:lastModifiedBy>
  <dcterms:created xsi:type="dcterms:W3CDTF">2026-10-22T19:07:20.550Z</dcterms:created>
</cp:coreProperties>
</file>