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650 ГК РФ</w:t>
      </w:r>
    </w:p>
    <w:p>
      <w:pPr>
        <w:spacing w:after="120"/>
        <w:ind w:firstLine="709"/>
      </w:pPr>
      <w:r>
        <w:rPr>
          <w:sz w:val="24"/>
        </w:rPr>
        <w:t xml:space="preserve">- Может ли разрушенное здание быть предметом арендных отношений</w:t>
      </w:r>
    </w:p>
    <w:p>
      <w:pPr>
        <w:spacing w:after="120"/>
        <w:ind w:firstLine="709"/>
      </w:pPr>
      <w:r>
        <w:rPr>
          <w:sz w:val="24"/>
        </w:rPr>
        <w:t xml:space="preserve">1.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настоящего параграфа применяются к аренде предприятий, если иное не предусмотрено правилами настоящего Кодекса об аренде предприятия.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650</dc:title>
  <dc:creator>АРБИТРАЖ! · arbi.ru</dc:creator>
  <cp:lastModifiedBy>АРБИТРАЖ!</cp:lastModifiedBy>
  <dcterms:created xsi:type="dcterms:W3CDTF">2026-10-22T10:18:39.717Z</dcterms:created>
</cp:coreProperties>
</file>