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651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651 ГК РФ</w:t>
      </w:r>
    </w:p>
    <w:p>
      <w:pPr>
        <w:spacing w:after="120"/>
        <w:ind w:firstLine="709"/>
      </w:pPr>
      <w:r>
        <w:rPr>
          <w:sz w:val="24"/>
        </w:rPr>
        <w:t xml:space="preserve">- Нужна ли госрегистрация договора аренды здания (сооружения) или нежилых помещений в нем, заключенного на срок не менее года</w:t>
      </w:r>
    </w:p>
    <w:p>
      <w:pPr>
        <w:spacing w:after="120"/>
        <w:ind w:firstLine="709"/>
      </w:pPr>
      <w:r>
        <w:rPr>
          <w:sz w:val="24"/>
        </w:rPr>
        <w:t xml:space="preserve">- Подлежит ли госрегистрации договор аренды здания (сооружения) или нежилых помещений, если он заключен (возобновлен) на неопределенный срок</w:t>
      </w:r>
    </w:p>
    <w:p>
      <w:pPr>
        <w:spacing w:after="120"/>
        <w:ind w:firstLine="709"/>
      </w:pPr>
      <w:r>
        <w:rPr>
          <w:sz w:val="24"/>
        </w:rPr>
        <w:t xml:space="preserve">- Нужно ли регистрировать договор аренды недвижимости, заключенный на срок менее года и продленный допсоглашением на такой же срок</w:t>
      </w:r>
    </w:p>
    <w:p>
      <w:pPr>
        <w:spacing w:after="120"/>
        <w:ind w:firstLine="709"/>
      </w:pPr>
      <w:r>
        <w:rPr>
          <w:sz w:val="24"/>
        </w:rPr>
        <w:t xml:space="preserve">- Можно ли исчислять срок действия договора аренды с согласованной в нем даты начала аренды, отличной от даты подписания</w:t>
      </w:r>
    </w:p>
    <w:p>
      <w:pPr>
        <w:spacing w:after="120"/>
        <w:ind w:firstLine="709"/>
      </w:pPr>
      <w:r>
        <w:rPr>
          <w:sz w:val="24"/>
        </w:rPr>
        <w:t xml:space="preserve">- Считается ли заключенным соглашение об изменении арендной платы, если оно не зарегистрировано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651 ГК РФ</w:t>
      </w:r>
    </w:p>
    <w:p>
      <w:pPr>
        <w:spacing w:after="120"/>
        <w:ind w:firstLine="709"/>
      </w:pPr>
      <w:r>
        <w:rPr>
          <w:sz w:val="24"/>
        </w:rPr>
        <w:t xml:space="preserve">1. Договор аренды здания или сооружения заключается в письменной форме путем составления одного документа, подписанного сторонами (пункт 2 статьи 434) .</w:t>
      </w:r>
    </w:p>
    <w:p>
      <w:pPr>
        <w:spacing w:after="120"/>
        <w:ind w:firstLine="709"/>
      </w:pPr>
      <w:r>
        <w:rPr>
          <w:sz w:val="24"/>
        </w:rPr>
        <w:t xml:space="preserve">Несоблюдение формы договора аренды здания или сооружения влечет его недействительность.</w:t>
      </w:r>
    </w:p>
    <w:p>
      <w:pPr>
        <w:spacing w:after="120"/>
        <w:ind w:firstLine="709"/>
      </w:pPr>
      <w:r>
        <w:rPr>
          <w:sz w:val="24"/>
        </w:rPr>
        <w:t xml:space="preserve">2. Договор аренды здания или сооружения, заключенный на срок не менее года, подлежит государственной регистрации и считается заключенным с момента такой регистрации.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651</dc:title>
  <dc:creator>АРБИТРАЖ! · arbi.ru</dc:creator>
  <cp:lastModifiedBy>АРБИТРАЖ!</cp:lastModifiedBy>
  <dcterms:created xsi:type="dcterms:W3CDTF">2026-10-22T20:26:40.517Z</dcterms:created>
</cp:coreProperties>
</file>