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654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размер арендной платы существенным условием договора аренды помещений</w:t>
      </w:r>
    </w:p>
    <w:p>
      <w:pPr>
        <w:spacing w:after="120"/>
        <w:ind w:firstLine="709"/>
      </w:pPr>
      <w:r>
        <w:rPr>
          <w:sz w:val="24"/>
        </w:rPr>
        <w:t xml:space="preserve">- Как определяется размер неосновательного обогащения за пользование имуществом, если договор аренды не заключен или недействителен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654 ГК РФ</w:t>
      </w:r>
    </w:p>
    <w:p>
      <w:pPr>
        <w:spacing w:after="120"/>
        <w:ind w:firstLine="709"/>
      </w:pPr>
      <w:r>
        <w:rPr>
          <w:sz w:val="24"/>
        </w:rPr>
        <w:t xml:space="preserve">1.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незаключенным. При этом правила определения цены, предусмотренные пунктом 3 статьи 424 настоящего Кодекса, не применяются.</w:t>
      </w:r>
    </w:p>
    <w:p>
      <w:pPr>
        <w:spacing w:after="120"/>
        <w:ind w:firstLine="709"/>
      </w:pPr>
      <w:r>
        <w:rPr>
          <w:sz w:val="24"/>
        </w:rPr>
        <w:t xml:space="preserve">2. Установленная в договоре аренды здания или сооружения плата за пользование зданием или сооружением включает плату за пользование земельным участком, на котором оно расположено, или передаваемой вместе с ним соответствующей частью участка,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3. В случаях, когда плата за аренду здания или сооружения установлена в договоре на единицу площади здания (сооружения) или иного показателя его размера, арендная плата определяется исходя из фактического размера переданного арендатору здания или сооружения.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654</dc:title>
  <dc:creator>АРБИТРАЖ! · arbi.ru</dc:creator>
  <cp:lastModifiedBy>АРБИТРАЖ!</cp:lastModifiedBy>
  <dcterms:created xsi:type="dcterms:W3CDTF">2026-10-22T08:03:12.875Z</dcterms:created>
</cp:coreProperties>
</file>