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аренды предприятия заключается в письменной форме путем составления одного документа, подписанного сторонами (пункт 2 статьи 434) .</w:t>
      </w:r>
    </w:p>
    <w:p>
      <w:pPr>
        <w:spacing w:after="120"/>
        <w:ind w:firstLine="709"/>
      </w:pPr>
      <w:r>
        <w:rPr>
          <w:sz w:val="24"/>
        </w:rPr>
        <w:t xml:space="preserve">2. Договор аренды предприятия подлежит государственной регистрации и считается заключенным с момента такой регистрации.</w:t>
      </w:r>
    </w:p>
    <w:p>
      <w:pPr>
        <w:spacing w:after="120"/>
        <w:ind w:firstLine="709"/>
      </w:pPr>
      <w:r>
        <w:rPr>
          <w:sz w:val="24"/>
        </w:rPr>
        <w:t xml:space="preserve">3. Несоблюдение формы договора аренды предприятия влечет его недействительность.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658</dc:title>
  <dc:creator>АРБИТРАЖ! · arbi.ru</dc:creator>
  <cp:lastModifiedBy>АРБИТРАЖ!</cp:lastModifiedBy>
  <dcterms:created xsi:type="dcterms:W3CDTF">2026-10-22T20:25:09.320Z</dcterms:created>
</cp:coreProperties>
</file>