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улучшения, если иное не предусмотрено договором аренды предприятия.</w:t>
      </w:r>
    </w:p>
    <w:p>
      <w:pPr>
        <w:spacing w:after="120"/>
        <w:ind w:firstLine="709"/>
      </w:pPr>
      <w:r>
        <w:rPr>
          <w:sz w:val="24"/>
        </w:rPr>
        <w:t xml:space="preserve">Арендодатель может быть освобожден судом от обязанности возместить арендатору стоимость таких улучшений, если докажет, что издержки арендатора на эти улучшения повышают стоимость арендованного имущества несоразмерно улучшению его качества и (или) эксплуатационных свойств или при осуществлении таких улучшений были нарушены принципы добросовестности и разумности.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662</dc:title>
  <dc:creator>АРБИТРАЖ! · arbi.ru</dc:creator>
  <cp:lastModifiedBy>АРБИТРАЖ!</cp:lastModifiedBy>
  <dcterms:created xsi:type="dcterms:W3CDTF">2026-10-22T20:26:26.971Z</dcterms:created>
</cp:coreProperties>
</file>