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Правила настоящего Кодекса о последствиях недействительности сделок, об изменении и о расторжении договора, предусматривающие возврат или взыскание в натуре полученного по договору с одной стороны или с обеих сторон, применяются к договору аренды предприятия, если такие последствия не нарушают существенно права и охраняемые законом интересы кредиторов арендодателя и арендатора, других лиц и не противоречат общественным интересам.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663</dc:title>
  <dc:creator>АРБИТРАЖ! · arbi.ru</dc:creator>
  <cp:lastModifiedBy>АРБИТРАЖ!</cp:lastModifiedBy>
  <dcterms:created xsi:type="dcterms:W3CDTF">2026-10-22T20:26:18.451Z</dcterms:created>
</cp:coreProperties>
</file>