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669 ГК РФ</w:t>
      </w:r>
    </w:p>
    <w:p>
      <w:pPr>
        <w:spacing w:after="120"/>
        <w:ind w:firstLine="709"/>
      </w:pPr>
      <w:r>
        <w:rPr>
          <w:sz w:val="24"/>
        </w:rPr>
        <w:t xml:space="preserve">- Лизингодатель хочет взыскать задолженность с лизингополучателя (поручителя)</w:t>
      </w:r>
    </w:p>
    <w:p>
      <w:pPr>
        <w:spacing w:after="120"/>
        <w:ind w:firstLine="709"/>
      </w:pPr>
      <w:r>
        <w:rPr>
          <w:sz w:val="24"/>
        </w:rPr>
        <w:t xml:space="preserve">Риск случайной гибели или случайной порчи арендованного имущества переходит к арендатору в момент передачи ему арендованного имущества, если иное не предусмотрено договором финансовой аренды.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669</dc:title>
  <dc:creator>АРБИТРАЖ! · arbi.ru</dc:creator>
  <cp:lastModifiedBy>АРБИТРАЖ!</cp:lastModifiedBy>
  <dcterms:created xsi:type="dcterms:W3CDTF">2026-10-22T20:25:08.818Z</dcterms:created>
</cp:coreProperties>
</file>