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674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674 ГК РФ</w:t>
      </w:r>
    </w:p>
    <w:p>
      <w:pPr>
        <w:spacing w:after="120"/>
        <w:ind w:firstLine="709"/>
      </w:pPr>
      <w:r>
        <w:rPr>
          <w:sz w:val="24"/>
        </w:rPr>
        <w:t xml:space="preserve">- Наймодатель хочет выселить из жилого помещения нанимателя и/или членов его семьи в связи с истечением срока договора коммерческого найма или отказом от договора</w:t>
      </w:r>
    </w:p>
    <w:p>
      <w:pPr>
        <w:spacing w:after="120"/>
        <w:ind w:firstLine="709"/>
      </w:pPr>
      <w:r>
        <w:rPr>
          <w:sz w:val="24"/>
        </w:rPr>
        <w:t xml:space="preserve">1 . Договор найма жилого помещения заключается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2. Ограничение (обременение) права собственности на жилое помещение, возникающее на основании договора найма такого жилого помещения, заключенного на срок не менее года, подлежит государственной регистрации в порядке , установленном законом о регистрации прав на недвижимое имущество и сделок с ним.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21.07.2014 N 217-ФЗ)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674</dc:title>
  <dc:creator>АРБИТРАЖ! · arbi.ru</dc:creator>
  <cp:lastModifiedBy>АРБИТРАЖ!</cp:lastModifiedBy>
  <dcterms:created xsi:type="dcterms:W3CDTF">2026-10-22T16:47:14.256Z</dcterms:created>
</cp:coreProperties>
</file>