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675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35.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675 ГК РФ</w:t>
      </w:r>
    </w:p>
    <w:p>
      <w:pPr>
        <w:spacing w:after="120"/>
        <w:ind w:firstLine="709"/>
      </w:pPr>
      <w:r>
        <w:rPr>
          <w:sz w:val="24"/>
        </w:rPr>
        <w:t xml:space="preserve">- Наймодатель хочет признать договор коммерческого найма недействительным и выселить нанимателя из жилого помещения</w:t>
      </w:r>
    </w:p>
    <w:p>
      <w:pPr>
        <w:spacing w:after="120"/>
        <w:ind w:firstLine="709"/>
      </w:pPr>
      <w:r>
        <w:rPr>
          <w:sz w:val="24"/>
        </w:rPr>
        <w:t xml:space="preserve">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675</dc:title>
  <dc:creator>АРБИТРАЖ! · arbi.ru</dc:creator>
  <cp:lastModifiedBy>АРБИТРАЖ!</cp:lastModifiedBy>
  <dcterms:created xsi:type="dcterms:W3CDTF">2026-10-22T22:05:31.230Z</dcterms:created>
</cp:coreProperties>
</file>