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678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35.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Наниматель обязан использовать жилое помещение только для проживания, обеспечивать сохранность жилого помещения и поддерживать его в надлежащем состоянии.</w:t>
      </w:r>
    </w:p>
    <w:p>
      <w:pPr>
        <w:spacing w:after="120"/>
        <w:ind w:firstLine="709"/>
      </w:pPr>
      <w:r>
        <w:rPr>
          <w:sz w:val="24"/>
        </w:rPr>
        <w:t xml:space="preserve">Наниматель не вправе производить переустройство и реконструкцию жилого помещения без согласия наймодателя.</w:t>
      </w:r>
    </w:p>
    <w:p>
      <w:pPr>
        <w:spacing w:after="120"/>
        <w:ind w:firstLine="709"/>
      </w:pPr>
      <w:r>
        <w:rPr>
          <w:sz w:val="24"/>
        </w:rPr>
        <w:t xml:space="preserve">Наниматель обязан своевременно вносить плату за жилое помещение. Если договором не установлено иное, наниматель обязан самостоятельно вносить коммунальные платежи.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678</dc:title>
  <dc:creator>АРБИТРАЖ! · arbi.ru</dc:creator>
  <cp:lastModifiedBy>АРБИТРАЖ!</cp:lastModifiedBy>
  <dcterms:created xsi:type="dcterms:W3CDTF">2026-10-22T20:26:27.973Z</dcterms:created>
</cp:coreProperties>
</file>