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681 ГК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взыскать с владельца вышерасположенной квартиры возмещение материального ущерба, причиненного в результате залива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взыскать стоимость неотделимых улучшений жилого помещения, переданного по договору коммерческого найма</w:t>
      </w:r>
    </w:p>
    <w:p>
      <w:pPr>
        <w:spacing w:after="120"/>
        <w:ind w:firstLine="709"/>
      </w:pPr>
      <w:r>
        <w:rPr>
          <w:sz w:val="24"/>
        </w:rPr>
        <w:t xml:space="preserve">1. Текущий ремонт сданного внаем жилого помещения является обязанностью нанимателя, если иное не установлено договором найма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2. Капитальный ремонт сданного внаем жилого помещения является обязанностью наймодателя, если иное не установлено договором найма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3. Переоборудование жилого дома, в котором находится сданное внаем жилое помещение, если такое переоборудование существенно изменяет условия пользования жилым помещением, без согласия нанимателя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681</dc:title>
  <dc:creator>АРБИТРАЖ! · arbi.ru</dc:creator>
  <cp:lastModifiedBy>АРБИТРАЖ!</cp:lastModifiedBy>
  <dcterms:created xsi:type="dcterms:W3CDTF">2026-10-22T20:26:39.007Z</dcterms:created>
</cp:coreProperties>
</file>