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689 ГК РФ &gt;&gt;&gt;</w:t>
      </w:r>
    </w:p>
    <w:p>
      <w:pPr>
        <w:spacing w:after="120"/>
        <w:ind w:firstLine="709"/>
      </w:pPr>
      <w:r>
        <w:rPr>
          <w:sz w:val="24"/>
        </w:rPr>
        <w:t xml:space="preserve">1. По договору безвозмездного пользования (договору ссуды) одна сторона (ссудодатель) обязуется передать или передает вещь в безвозмездное временное пользование другой стороне (ссудополучателю), а последняя обязуется вернуть ту же вещь в том состоянии, в каком она ее получила, с учетом нормального износа или в состоянии, обусловленном договором.</w:t>
      </w:r>
    </w:p>
    <w:p>
      <w:pPr>
        <w:spacing w:after="120"/>
        <w:ind w:firstLine="709"/>
      </w:pPr>
      <w:r>
        <w:rPr>
          <w:sz w:val="24"/>
        </w:rPr>
        <w:t xml:space="preserve">2. К договору безвозмездного пользования соответственно применяются правила, предусмотренные статьей 607 , пунктом 1 и абзацем первым пункта 2 статьи 610 , пунктами 1 и 3 статьи 615 , пунктом 2 статьи 621 , пунктами 1 и 3 статьи 623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 договору безвозмездного пользования (ссуды) объектом культурного наследия применяются также правила, предусмотренные статьей 609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22.10.2014 N 315-ФЗ)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689</dc:title>
  <dc:creator>АРБИТРАЖ! · arbi.ru</dc:creator>
  <cp:lastModifiedBy>АРБИТРАЖ!</cp:lastModifiedBy>
  <dcterms:created xsi:type="dcterms:W3CDTF">2026-10-22T20:25:07.820Z</dcterms:created>
</cp:coreProperties>
</file>