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Передача вещи в безвозмездное пользование не является основанием для изменения или прекращения прав третьих лиц на эту вещь.</w:t>
      </w:r>
    </w:p>
    <w:p>
      <w:pPr>
        <w:spacing w:after="120"/>
        <w:ind w:firstLine="709"/>
      </w:pPr>
      <w:r>
        <w:rPr>
          <w:sz w:val="24"/>
        </w:rPr>
        <w:t xml:space="preserve">При заключении договора безвозмездного пользования ссудодатель обязан предупредить ссудополучателя о всех правах третьих лиц на эту вещь (сервитуте, праве залога и т.п.). Неисполнение этой обязанности дает ссудополучателю право требовать расторжения договора и возмещения понесенного им реального ущерба.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694</dc:title>
  <dc:creator>АРБИТРАЖ! · arbi.ru</dc:creator>
  <cp:lastModifiedBy>АРБИТРАЖ!</cp:lastModifiedBy>
  <dcterms:created xsi:type="dcterms:W3CDTF">2026-10-22T20:26:56.051Z</dcterms:created>
</cp:coreProperties>
</file>