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696 ГК РФ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взыскать убытки в размере стоимости утраченного ссудополучателем имущества, переданного ему в безвозмездное пользование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взыскать неустойку (пени, штраф) за допущенное нарушение условий договора со стороны ссудополучателя</w:t>
      </w:r>
    </w:p>
    <w:p>
      <w:pPr>
        <w:spacing w:after="120"/>
        <w:ind w:firstLine="709"/>
      </w:pPr>
      <w:r>
        <w:rPr>
          <w:sz w:val="24"/>
        </w:rPr>
        <w:t xml:space="preserve">Ссудополучатель несет риск случайной гибели или случайного повреждения полученной в безвозмездное пользование вещи, если вещь погибла или была испорчена в связи с тем,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ссудодателя. Ссудополучатель несет также риск случайной гибели или случайного повреждения вещи, если с учетом фактических обстоятельств мог предотвратить ее гибель или порчу, пожертвовав своей вещью, но предпочел сохранить свою вещь.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696</dc:title>
  <dc:creator>АРБИТРАЖ! · arbi.ru</dc:creator>
  <cp:lastModifiedBy>АРБИТРАЖ!</cp:lastModifiedBy>
  <dcterms:created xsi:type="dcterms:W3CDTF">2026-10-22T22:05:27.222Z</dcterms:created>
</cp:coreProperties>
</file>