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705 ГК РФ</w:t>
      </w:r>
    </w:p>
    <w:p>
      <w:pPr>
        <w:spacing w:after="120"/>
        <w:ind w:firstLine="709"/>
      </w:pPr>
      <w:r>
        <w:rPr>
          <w:sz w:val="24"/>
        </w:rPr>
        <w:t xml:space="preserve">- Кто из сторон по договору подряда, по мнению судов, несет риск случайной гибели или случайного повреждения материалов, оборудования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Кодексом, иными законами или договором подряда:</w:t>
      </w:r>
    </w:p>
    <w:p>
      <w:pPr>
        <w:spacing w:after="120"/>
        <w:ind w:firstLine="709"/>
      </w:pPr>
      <w:r>
        <w:rPr>
          <w:sz w:val="24"/>
        </w:rPr>
        <w:t xml:space="preserve">риск случайной гибели или случайного повреждения материалов, оборудования, переданной для переработки (обработки) вещи или иного используемого для исполнения договора имущества несет предоставившая их сторона;</w:t>
      </w:r>
    </w:p>
    <w:p>
      <w:pPr>
        <w:spacing w:after="120"/>
        <w:ind w:firstLine="709"/>
      </w:pPr>
      <w:r>
        <w:rPr>
          <w:sz w:val="24"/>
        </w:rPr>
        <w:t xml:space="preserve">риск случайной гибели или случайного повреждения результата выполненной работы до ее приемки заказчиком несет подрядчик.</w:t>
      </w:r>
    </w:p>
    <w:p>
      <w:pPr>
        <w:spacing w:after="120"/>
        <w:ind w:firstLine="709"/>
      </w:pPr>
      <w:r>
        <w:rPr>
          <w:sz w:val="24"/>
        </w:rPr>
        <w:t xml:space="preserve">2. При просрочке передачи или приемки результата работы риски, предусмотренные в пункте 1 настоящей статьи, несет сторона, допустившая просрочку.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705</dc:title>
  <dc:creator>АРБИТРАЖ! · arbi.ru</dc:creator>
  <cp:lastModifiedBy>АРБИТРАЖ!</cp:lastModifiedBy>
  <dcterms:created xsi:type="dcterms:W3CDTF">2026-10-22T22:35:26.563Z</dcterms:created>
</cp:coreProperties>
</file>