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712 ГК РФ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подряда установить, что нормы об удержании подрядчиком результата работ не применяются</w:t>
      </w:r>
    </w:p>
    <w:p>
      <w:pPr>
        <w:spacing w:after="120"/>
        <w:ind w:firstLine="709"/>
      </w:pPr>
      <w:r>
        <w:rPr>
          <w:sz w:val="24"/>
        </w:rPr>
        <w:t xml:space="preserve">- Правомерно ли удержание подрядчиком результата незавершенной работы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712 ГК РФ</w:t>
      </w:r>
    </w:p>
    <w:p>
      <w:pPr>
        <w:spacing w:after="120"/>
        <w:ind w:firstLine="709"/>
      </w:pPr>
      <w:r>
        <w:rPr>
          <w:sz w:val="24"/>
        </w:rPr>
        <w:t xml:space="preserve">При неисполнении заказчиком обязанности уплатить установленную цену либо иную сумму, причитающуюся подрядчику в связи с выполнением договора подряда, подрядчик имеет право на удержание в соответствии со статьями 359 и 360 настоящего Кодекса результата работ, а также принадлежащих заказчику оборудования, переданной для переработки (обработки) вещи, остатка неиспользованного материала и другого оказавшегося у него имущества заказчика до уплаты заказчиком соответствующих сумм.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712</dc:title>
  <dc:creator>АРБИТРАЖ! · arbi.ru</dc:creator>
  <cp:lastModifiedBy>АРБИТРАЖ!</cp:lastModifiedBy>
  <dcterms:created xsi:type="dcterms:W3CDTF">2026-10-22T10:16:47.932Z</dcterms:created>
</cp:coreProperties>
</file>