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724 ГК РФ</w:t>
      </w:r>
    </w:p>
    <w:p>
      <w:pPr>
        <w:spacing w:after="120"/>
        <w:ind w:firstLine="709"/>
      </w:pPr>
      <w:r>
        <w:rPr>
          <w:sz w:val="24"/>
        </w:rPr>
        <w:t xml:space="preserve">- Сохраняется ли обязанность подрядчика по устранению дефектов по истечении гарантийного срока, если договором подряда он установлен менее пяти лет</w:t>
      </w:r>
    </w:p>
    <w:p>
      <w:pPr>
        <w:spacing w:after="120"/>
        <w:ind w:firstLine="709"/>
      </w:pPr>
      <w:r>
        <w:rPr>
          <w:sz w:val="24"/>
        </w:rPr>
        <w:t xml:space="preserve">- Вправе ли лицо, которое приобрело результат работ у заказчика по договору подряда, требовать у подрядчика устранения недостатков в пределах гарантийного срока</w:t>
      </w:r>
    </w:p>
    <w:p>
      <w:pPr>
        <w:spacing w:after="120"/>
        <w:ind w:firstLine="709"/>
      </w:pPr>
      <w:r>
        <w:rPr>
          <w:sz w:val="24"/>
        </w:rPr>
        <w:t xml:space="preserve">- Можно ли гарантийный срок согласовать в акте приема-передачи работ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взыскать с подрядчика убытки, вызванные ненадлежащим качеством работ по договору подряда, если недостатки выявлены после истечения гарантийного срока, но в пределах двух лет после передачи результата работ заказчику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724 ГК РФ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законом или договором подряда, заказчик вправе предъявить требования, связанные с ненадлежащим качеством результата работы, при условии, что оно выявлено в сроки, установленные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на результат работы не установлен гарантийный срок, требования, связанные с недостатками результата работы, могут быть предъявлены заказчиком при условии, что они были обнаружены в разумный срок, но в пределах двух лет со дня передачи результата работы, если иные сроки не установлены законом, договором или обычаями делового оборота.</w:t>
      </w:r>
    </w:p>
    <w:p>
      <w:pPr>
        <w:spacing w:after="120"/>
        <w:ind w:firstLine="709"/>
      </w:pPr>
      <w:r>
        <w:rPr>
          <w:sz w:val="24"/>
        </w:rPr>
        <w:t xml:space="preserve">3. Заказчик вправе предъявить требования, связанные с недостатками результата работы, обнаруженными в течение гарантийного срока.</w:t>
      </w:r>
    </w:p>
    <w:p>
      <w:pPr>
        <w:spacing w:after="120"/>
        <w:ind w:firstLine="709"/>
      </w:pPr>
      <w:r>
        <w:rPr>
          <w:sz w:val="24"/>
        </w:rPr>
        <w:t xml:space="preserve">4. В случае,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срока, но в пределах двух лет с момента, предусмотренного пунктом 5 настоящей статьи, подрядчик несет ответственность, если заказчик докажет, что недостатки возникли до передачи результата работы заказчику или по причинам, возникшим до этого момента.</w:t>
      </w:r>
    </w:p>
    <w:p>
      <w:pPr>
        <w:spacing w:after="120"/>
        <w:ind w:firstLine="709"/>
      </w:pPr>
      <w:r>
        <w:rPr>
          <w:sz w:val="24"/>
        </w:rPr>
        <w:t xml:space="preserve">5. Если иное не предусмотрено договором подряда, гарантийный срок (пункт 1 статьи 722) начинает течь с момента, когда результат выполненной работы был принят или должен был быть принят заказчиком.</w:t>
      </w:r>
    </w:p>
    <w:p>
      <w:pPr>
        <w:spacing w:after="120"/>
        <w:ind w:firstLine="709"/>
      </w:pPr>
      <w:r>
        <w:rPr>
          <w:sz w:val="24"/>
        </w:rPr>
        <w:t xml:space="preserve">6. К исчислению гарантийного срока по договору подряда применяются соответственно правила, содержащиеся в пунктах 2 и 4 статьи 471 настоящего Кодекса, если иное не предусмотрено законом, иными правовыми актами, соглашением сторон или не вытекает из особенностей договора подряда.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724</dc:title>
  <dc:creator>АРБИТРАЖ! · arbi.ru</dc:creator>
  <cp:lastModifiedBy>АРБИТРАЖ!</cp:lastModifiedBy>
  <dcterms:created xsi:type="dcterms:W3CDTF">2026-10-22T13:35:16.778Z</dcterms:created>
</cp:coreProperties>
</file>