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725 ГК РФ</w:t>
      </w:r>
    </w:p>
    <w:p>
      <w:pPr>
        <w:spacing w:after="120"/>
        <w:ind w:firstLine="709"/>
      </w:pPr>
      <w:r>
        <w:rPr>
          <w:sz w:val="24"/>
        </w:rPr>
        <w:t xml:space="preserve">- Применяется ли сокращенный срок исковой давности к требованиям о взыскании с подрядчика расходов на устранение неисправностей, возникших по его вине в период гарантийного срока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Применяется ли сокращенный срок исковой давности при переходе права требования по договору подряда к другому лицу в порядке суброгации в связи с ненадлежащим качеством работ</w:t>
      </w:r>
    </w:p>
    <w:p>
      <w:pPr>
        <w:spacing w:after="120"/>
        <w:ind w:firstLine="709"/>
      </w:pPr>
      <w:r>
        <w:rPr>
          <w:sz w:val="24"/>
        </w:rPr>
        <w:t xml:space="preserve">- Применяются ли к требованиям договора подряда, связанным с ненадлежащим качеством работ по возведению, реконструкции и ремонту зданий и сооружений, общий и сокращенный сроки исковой давности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исчислять срок исковой давности с момента приемки этапа работ по договору подряда, если в целом результат принят не был</w:t>
      </w:r>
    </w:p>
    <w:p>
      <w:pPr>
        <w:spacing w:after="120"/>
        <w:ind w:firstLine="709"/>
      </w:pPr>
      <w:r>
        <w:rPr>
          <w:sz w:val="24"/>
        </w:rPr>
        <w:t xml:space="preserve">1. Срок исковой давности для требований, предъявляемых в связи с ненадлежащим качеством работы, выполненной по договору подряда, составляет один год, а в отношении зданий и сооружений определяется по правилам статьи 196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Если в соответствии с договором подряда результат работы принят заказчиком по частям, течение срока исковой давности начинается со дня приемки результата работы в целом.</w:t>
      </w:r>
    </w:p>
    <w:p>
      <w:pPr>
        <w:spacing w:after="120"/>
        <w:ind w:firstLine="709"/>
      </w:pPr>
      <w:r>
        <w:rPr>
          <w:sz w:val="24"/>
        </w:rPr>
        <w:t xml:space="preserve">3. Если законом,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срока, течение срока исковой давности, указанного в пункте 1 настоящей статьи, начинается со дня заявления о недостатках.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725</dc:title>
  <dc:creator>АРБИТРАЖ! · arbi.ru</dc:creator>
  <cp:lastModifiedBy>АРБИТРАЖ!</cp:lastModifiedBy>
  <dcterms:created xsi:type="dcterms:W3CDTF">2026-10-22T10:13:32.577Z</dcterms:created>
</cp:coreProperties>
</file>