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744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с заказчика стоимость дополнительных строительных работ</w:t>
      </w:r>
    </w:p>
    <w:p>
      <w:pPr>
        <w:spacing w:after="120"/>
        <w:ind w:firstLine="709"/>
      </w:pPr>
      <w:r>
        <w:rPr>
          <w:sz w:val="24"/>
        </w:rPr>
        <w:t xml:space="preserve">1. Заказчик вправе вносить изменения в техническую документацию при условии,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работ.</w:t>
      </w:r>
    </w:p>
    <w:p>
      <w:pPr>
        <w:spacing w:after="120"/>
        <w:ind w:firstLine="709"/>
      </w:pPr>
      <w:r>
        <w:rPr>
          <w:sz w:val="24"/>
        </w:rPr>
        <w:t xml:space="preserve">2. Внесение в техническую документацию изменений в большем против указанного в пункте 1 настоящей статьи объеме осуществляется на основе согласованной сторонами дополнительной сметы.</w:t>
      </w:r>
    </w:p>
    <w:p>
      <w:pPr>
        <w:spacing w:after="120"/>
        <w:ind w:firstLine="709"/>
      </w:pPr>
      <w:r>
        <w:rPr>
          <w:sz w:val="24"/>
        </w:rPr>
        <w:t xml:space="preserve">3. Подрядчик вправе требовать в соответствии со статьей 450 настоящего Кодекса пересмотра сметы, если по не зависящим от него причинам стоимость работ превысила смету не менее чем на десять процентов.</w:t>
      </w:r>
    </w:p>
    <w:p>
      <w:pPr>
        <w:spacing w:after="120"/>
        <w:ind w:firstLine="709"/>
      </w:pPr>
      <w:r>
        <w:rPr>
          <w:sz w:val="24"/>
        </w:rPr>
        <w:t xml:space="preserve">4. Подрядчик вправе требовать возмещения разумных расходов, которые понесены им в связи с установлением и устранением дефектов в технической документации.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744</dc:title>
  <dc:creator>АРБИТРАЖ! · arbi.ru</dc:creator>
  <cp:lastModifiedBy>АРБИТРАЖ!</cp:lastModifiedBy>
  <dcterms:created xsi:type="dcterms:W3CDTF">2026-10-22T20:22:34.387Z</dcterms:created>
</cp:coreProperties>
</file>