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746 ГК РФ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задолженность по договору, работы по которому приняты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излишне уплаченные денежные средства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оплату за выполненные работы, увеличение объема которых не было согласовано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договор строительного подряда и взыскать предоплату</w:t>
      </w:r>
    </w:p>
    <w:p>
      <w:pPr>
        <w:spacing w:after="120"/>
        <w:ind w:firstLine="709"/>
      </w:pPr>
      <w:r>
        <w:rPr>
          <w:sz w:val="24"/>
        </w:rPr>
        <w:t xml:space="preserve">1. Оплата выполненных подрядчиком работ производится заказчиком в размере, предусмотренном сметой, в сроки и в порядке, которые установлены законом или договором строительного подряда. При отсутствии соответствующих указаний в законе или договоре оплата работ производится в соответствии со статьей 711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Договором строительного подряда может быть предусмотрена оплата работ единовременно и в полном объеме после приемки объекта заказчиком.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746</dc:title>
  <dc:creator>АРБИТРАЖ! · arbi.ru</dc:creator>
  <cp:lastModifiedBy>АРБИТРАЖ!</cp:lastModifiedBy>
  <dcterms:created xsi:type="dcterms:W3CDTF">2026-10-22T22:04:32.848Z</dcterms:created>
</cp:coreProperties>
</file>