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748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748 ГК РФ</w:t>
      </w:r>
    </w:p>
    <w:p>
      <w:pPr>
        <w:spacing w:after="120"/>
        <w:ind w:firstLine="709"/>
      </w:pPr>
      <w:r>
        <w:rPr>
          <w:sz w:val="24"/>
        </w:rPr>
        <w:t xml:space="preserve">- Подрядчик хочет взыскать задолженность по договору, работы по которому не приняты</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spacing w:after="120"/>
        <w:ind w:firstLine="709"/>
      </w:pPr>
      <w:r>
        <w:rPr>
          <w:sz w:val="24"/>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spacing w:after="120"/>
        <w:ind w:firstLine="709"/>
      </w:pPr>
      <w:r>
        <w:rPr>
          <w:sz w:val="24"/>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spacing w:after="120"/>
        <w:ind w:firstLine="709"/>
      </w:pPr>
      <w:r>
        <w:rPr>
          <w:sz w:val="24"/>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748</dc:title>
  <dc:creator>АРБИТРАЖ! · arbi.ru</dc:creator>
  <cp:lastModifiedBy>АРБИТРАЖ!</cp:lastModifiedBy>
  <dcterms:created xsi:type="dcterms:W3CDTF">2026-10-22T20:08:07.174Z</dcterms:created>
</cp:coreProperties>
</file>