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750</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750 ГК РФ</w:t>
      </w:r>
    </w:p>
    <w:p>
      <w:pPr>
        <w:spacing w:after="120"/>
        <w:ind w:firstLine="709"/>
      </w:pPr>
      <w:r>
        <w:rPr>
          <w:sz w:val="24"/>
        </w:rPr>
        <w:t xml:space="preserve">- Заказчик хочет обязать подрядчика исполнить договор в натуре</w:t>
      </w:r>
    </w:p>
    <w:p>
      <w:pPr>
        <w:spacing w:after="120"/>
        <w:ind w:firstLine="709"/>
      </w:pPr>
      <w:r>
        <w:rPr>
          <w:sz w:val="24"/>
        </w:rPr>
        <w:t xml:space="preserve">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pPr>
        <w:spacing w:after="120"/>
        <w:ind w:firstLine="709"/>
      </w:pPr>
      <w:r>
        <w:rPr>
          <w:sz w:val="24"/>
        </w:rPr>
        <w:t xml:space="preserve">2. Расходы стороны, связанные с исполнением обязанностей, указанных в пункте 1 настоящей статьи, подлежат возмещению другой стороной в случаях, когда это предусмотрено договором строительного подряда.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750</dc:title>
  <dc:creator>АРБИТРАЖ! · arbi.ru</dc:creator>
  <cp:lastModifiedBy>АРБИТРАЖ!</cp:lastModifiedBy>
  <dcterms:created xsi:type="dcterms:W3CDTF">2026-10-22T22:05:37.259Z</dcterms:created>
</cp:coreProperties>
</file>