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работ.</w:t>
      </w:r>
    </w:p>
    <w:p>
      <w:pPr>
        <w:spacing w:after="120"/>
        <w:ind w:firstLine="709"/>
      </w:pPr>
      <w:r>
        <w:rPr>
          <w:sz w:val="24"/>
        </w:rPr>
        <w:t xml:space="preserve">Подрядчик несет ответственность за нарушение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2. Подрядчик не вправе использовать в ходе осуществления работ материалы и оборудование, предоставленные заказчиком, или выполнять его указания, если это может привести к нарушению обязательных для сторон требований к охране окружающей среды и безопасности строительных работ.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751</dc:title>
  <dc:creator>АРБИТРАЖ! · arbi.ru</dc:creator>
  <cp:lastModifiedBy>АРБИТРАЖ!</cp:lastModifiedBy>
  <dcterms:created xsi:type="dcterms:W3CDTF">2026-10-22T16:46:56.112Z</dcterms:created>
</cp:coreProperties>
</file>