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756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756 ГК РФ</w:t>
      </w:r>
    </w:p>
    <w:p>
      <w:pPr>
        <w:spacing w:after="120"/>
        <w:ind w:firstLine="709"/>
      </w:pPr>
      <w:r>
        <w:rPr>
          <w:sz w:val="24"/>
        </w:rPr>
        <w:t xml:space="preserve">- Заказчик хочет обязать подрядчика безвозмездно устранить недостатки строительных работ</w:t>
      </w:r>
    </w:p>
    <w:p>
      <w:pPr>
        <w:spacing w:after="120"/>
        <w:ind w:firstLine="709"/>
      </w:pPr>
      <w:r>
        <w:rPr>
          <w:sz w:val="24"/>
        </w:rPr>
        <w:t xml:space="preserve">- Заказчик хочет уменьшить цену строительных работ в связи с обнаружением недостатков</w:t>
      </w:r>
    </w:p>
    <w:p>
      <w:pPr>
        <w:spacing w:after="120"/>
        <w:ind w:firstLine="709"/>
      </w:pPr>
      <w:r>
        <w:rPr>
          <w:sz w:val="24"/>
        </w:rPr>
        <w:t xml:space="preserve">- Заказчик хочет взыскать с подрядчика убытки, возникшие в связи с выполнением строительных работ с недостатками</w:t>
      </w:r>
    </w:p>
    <w:p>
      <w:pPr>
        <w:spacing w:after="120"/>
        <w:ind w:firstLine="709"/>
      </w:pPr>
      <w:r>
        <w:rPr>
          <w:sz w:val="24"/>
        </w:rPr>
        <w:t xml:space="preserve">При предъявлении требований, связанных с ненадлежащим качеством результата работ, применяются правила, предусмотренные пунктами 1 - 5 статьи 724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При этом предельный срок обнаружения недостатков, в соответствии с пунктами 2 и 4 статьи 724 настоящего Кодекса, составляет пять лет.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756</dc:title>
  <dc:creator>АРБИТРАЖ! · arbi.ru</dc:creator>
  <cp:lastModifiedBy>АРБИТРАЖ!</cp:lastModifiedBy>
  <dcterms:created xsi:type="dcterms:W3CDTF">2026-10-22T13:35:13.438Z</dcterms:created>
</cp:coreProperties>
</file>