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757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Договором строительного подряда может быть предусмотрена обязанность подрядчика устранять по требованию заказчика и за его счет недостатки, за которые подрядчик не несет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2. Подрядчик вправе отказаться от выполнения обязанности, указанной в пункте 1 настоящей статьи, в случаях, когда устранение недостатков не связано непосредственно с предметом договора либо не может быть осуществлено подрядчиком по не зависящим от него причинам.</w:t>
      </w:r>
    </w:p>
    <w:p/>
    <w:p>
      <w:pPr>
        <w:spacing w:after="120"/>
        <w:ind w:firstLine="709"/>
      </w:pPr>
      <w:r>
        <w:rPr>
          <w:sz w:val="24"/>
        </w:rPr>
        <w:t xml:space="preserve">§ 4. Подряд на выполнение проектных и изыскательских работ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757</dc:title>
  <dc:creator>АРБИТРАЖ! · arbi.ru</dc:creator>
  <cp:lastModifiedBy>АРБИТРАЖ!</cp:lastModifiedBy>
  <dcterms:created xsi:type="dcterms:W3CDTF">2026-10-22T22:05:42.270Z</dcterms:created>
</cp:coreProperties>
</file>