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767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обязать заказчика внести изменения в контракт</w:t>
      </w:r>
    </w:p>
    <w:p>
      <w:pPr>
        <w:spacing w:after="120"/>
        <w:ind w:firstLine="709"/>
      </w:pPr>
      <w:r>
        <w:rPr>
          <w:sz w:val="24"/>
        </w:rPr>
        <w:t xml:space="preserve">1.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бюджета, выделенных для финансирования подрядных работ, стороны должны согласовать новые сроки, а если необходимо, и другие условия выполнения работ. Подрядчик вправе требовать от государственного или муниципального заказчика возмещения убытков, причиненных изменением сроков выполнения работ.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Изменения условий государственного или муниципального контракта, не связанные с обстоятельствами, указанными в пункте 1 настоящей статьи, в одностороннем порядке или по соглашению сторон допускаются в случаях,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767</dc:title>
  <dc:creator>АРБИТРАЖ! · arbi.ru</dc:creator>
  <cp:lastModifiedBy>АРБИТРАЖ!</cp:lastModifiedBy>
  <dcterms:created xsi:type="dcterms:W3CDTF">2026-10-22T18:53:14.285Z</dcterms:created>
</cp:coreProperties>
</file>