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договорами на выполнение научно-исследовательских работ, опытно-конструкторских и технологических работ, стороны обязаны обеспечить конфиденциальность сведений, касающихся предмета договора, хода его исполнения и полученных результатов. Объем сведений, признаваемых конфиденциальными, определяется в договоре.</w:t>
      </w:r>
    </w:p>
    <w:p>
      <w:pPr>
        <w:spacing w:after="120"/>
        <w:ind w:firstLine="709"/>
      </w:pPr>
      <w:r>
        <w:rPr>
          <w:sz w:val="24"/>
        </w:rPr>
        <w:t xml:space="preserve">2. Каждая из сторон обязуется публиковать полученные при выполнении работы сведения, признанные конфиденциальными, только с согласия другой стороны.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771</dc:title>
  <dc:creator>АРБИТРАЖ! · arbi.ru</dc:creator>
  <cp:lastModifiedBy>АРБИТРАЖ!</cp:lastModifiedBy>
  <dcterms:created xsi:type="dcterms:W3CDTF">2026-10-22T20:21:19.020Z</dcterms:created>
</cp:coreProperties>
</file>