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774 ГК РФ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расторгнуть договор и взыскать понесенные затраты (расходы) в случае нецелесообразности или невозможности продолжения работ</w:t>
      </w:r>
    </w:p>
    <w:p>
      <w:pPr>
        <w:spacing w:after="120"/>
        <w:ind w:firstLine="709"/>
      </w:pPr>
      <w:r>
        <w:rPr>
          <w:sz w:val="24"/>
        </w:rPr>
        <w:t xml:space="preserve">1. Заказчик в договорах на выполнение научно-исследовательских работ, опытно-конструкторских и технологических работ обязан:</w:t>
      </w:r>
    </w:p>
    <w:p>
      <w:pPr>
        <w:spacing w:after="120"/>
        <w:ind w:firstLine="709"/>
      </w:pPr>
      <w:r>
        <w:rPr>
          <w:sz w:val="24"/>
        </w:rPr>
        <w:t xml:space="preserve">передавать исполнителю необходимую для выполнения работы информацию;</w:t>
      </w:r>
    </w:p>
    <w:p>
      <w:pPr>
        <w:spacing w:after="120"/>
        <w:ind w:firstLine="709"/>
      </w:pPr>
      <w:r>
        <w:rPr>
          <w:sz w:val="24"/>
        </w:rPr>
        <w:t xml:space="preserve">принять результаты выполненных работ и оплатить их.</w:t>
      </w:r>
    </w:p>
    <w:p>
      <w:pPr>
        <w:spacing w:after="120"/>
        <w:ind w:firstLine="709"/>
      </w:pPr>
      <w:r>
        <w:rPr>
          <w:sz w:val="24"/>
        </w:rPr>
        <w:t xml:space="preserve">2. Договором может быть также предусмотрена обязанность заказчика выдать исполнителю техническое задание и согласовать с ним программу (технико-экономические параметры) или тематику работ.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774</dc:title>
  <dc:creator>АРБИТРАЖ! · arbi.ru</dc:creator>
  <cp:lastModifiedBy>АРБИТРАЖ!</cp:lastModifiedBy>
  <dcterms:created xsi:type="dcterms:W3CDTF">2026-10-22T15:50:21.717Z</dcterms:created>
</cp:coreProperties>
</file>