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777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38. Выполнение научно-исследовательских, опытно-конструкторских и технологических работ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777 ГК РФ</w:t>
      </w:r>
    </w:p>
    <w:p>
      <w:pPr>
        <w:spacing w:after="120"/>
        <w:ind w:firstLine="709"/>
      </w:pPr>
      <w:r>
        <w:rPr>
          <w:sz w:val="24"/>
        </w:rPr>
        <w:t xml:space="preserve">- Заказчик хочет взыскать неустойку за нарушение исполнителем сроков выполнения работ</w:t>
      </w:r>
    </w:p>
    <w:p>
      <w:pPr>
        <w:spacing w:after="120"/>
        <w:ind w:firstLine="709"/>
      </w:pPr>
      <w:r>
        <w:rPr>
          <w:sz w:val="24"/>
        </w:rPr>
        <w:t xml:space="preserve">- Заказчик расторг договор и хочет взыскать предоплату</w:t>
      </w:r>
    </w:p>
    <w:p>
      <w:pPr>
        <w:spacing w:after="120"/>
        <w:ind w:firstLine="709"/>
      </w:pPr>
      <w:r>
        <w:rPr>
          <w:sz w:val="24"/>
        </w:rPr>
        <w:t xml:space="preserve">1. Исполнитель несет ответственность перед заказчиком за нарушение договоров на выполнение научно-исследовательских работ, опытно-конструкторских и технологических работ, если не докажет, что такое нарушение произошло не по вине исполнителя (пункт 1 статьи 401) .</w:t>
      </w:r>
    </w:p>
    <w:p>
      <w:pPr>
        <w:spacing w:after="120"/>
        <w:ind w:firstLine="709"/>
      </w:pPr>
      <w:r>
        <w:rPr>
          <w:sz w:val="24"/>
        </w:rPr>
        <w:t xml:space="preserve">2. Исполнитель обязан возместить убытки, причиненные им заказчику, в пределах стоимости работ, в которых выявлены недостатки, если договором предусмотрено, что они подлежат возмещению в пределах общей стоимости работ по договору. Упущенная выгода подлежит возмещению в случаях, предусмотренных договором.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777</dc:title>
  <dc:creator>АРБИТРАЖ! · arbi.ru</dc:creator>
  <cp:lastModifiedBy>АРБИТРАЖ!</cp:lastModifiedBy>
  <dcterms:created xsi:type="dcterms:W3CDTF">2026-10-22T12:25:56.886Z</dcterms:created>
</cp:coreProperties>
</file>