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39. Возмездное оказание услуг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779 ГК РФ</w:t>
      </w:r>
    </w:p>
    <w:p>
      <w:pPr>
        <w:spacing w:after="120"/>
        <w:ind w:firstLine="709"/>
      </w:pPr>
      <w:r>
        <w:rPr>
          <w:sz w:val="24"/>
        </w:rPr>
        <w:t xml:space="preserve">- Регулируется ли авторский надзор нормами о возмездном оказании услуг</w:t>
      </w:r>
    </w:p>
    <w:p>
      <w:pPr>
        <w:spacing w:after="120"/>
        <w:ind w:firstLine="709"/>
      </w:pPr>
      <w:r>
        <w:rPr>
          <w:sz w:val="24"/>
        </w:rPr>
        <w:t xml:space="preserve">- Признаются ли отношения, связанные с оказанием услуг и их приемкой, отношениями по возмездному оказанию услуг, если договор отсутствует или признан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Признается ли незаключенным договор возмездного оказания услуг, в котором не определены порядок и срок оплаты услуг или одно из этих условий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возмездного оказания услуг, в котором не согласована обязанность заказчика оплатить оказанные услуги, безвозмездным</w:t>
      </w:r>
    </w:p>
    <w:p>
      <w:pPr>
        <w:spacing w:after="120"/>
        <w:ind w:firstLine="709"/>
      </w:pPr>
      <w:r>
        <w:rPr>
          <w:sz w:val="24"/>
        </w:rPr>
        <w:t xml:space="preserve">- Является ли цена существенным условием договора возмездного оказания услуг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779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главы применяются к договорам оказания услуг связи, медицинских, ветеринарных, аудиторских, консультационных, информационных услуг, услуг по обучению, туристическому обслуживанию и иных, за исключением услуг, оказываемых по договорам, предусмотренным главами 37 , 38 , 40 , 41 , 44 , 45 , 46 , 47 , 49 , 51 , 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779</dc:title>
  <dc:creator>АРБИТРАЖ! · arbi.ru</dc:creator>
  <cp:lastModifiedBy>АРБИТРАЖ!</cp:lastModifiedBy>
  <dcterms:created xsi:type="dcterms:W3CDTF">2026-10-22T16:46:08.355Z</dcterms:created>
</cp:coreProperties>
</file>