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780 ГК РФ</w:t>
      </w:r>
    </w:p>
    <w:p>
      <w:pPr>
        <w:spacing w:after="120"/>
        <w:ind w:firstLine="709"/>
      </w:pPr>
      <w:r>
        <w:rPr>
          <w:sz w:val="24"/>
        </w:rPr>
        <w:t xml:space="preserve">- Необходимо ли подписывать акт приема-передачи после исполнения договора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- Может ли факт оказания услуг по договору подтверждаться подписанным сторонами актом приема-передачи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780 ГК РФ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возмездного оказания услуг, исполнитель обязан оказать услуги лично.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780</dc:title>
  <dc:creator>АРБИТРАЖ! · arbi.ru</dc:creator>
  <cp:lastModifiedBy>АРБИТРАЖ!</cp:lastModifiedBy>
  <dcterms:created xsi:type="dcterms:W3CDTF">2026-10-22T20:26:14.446Z</dcterms:created>
</cp:coreProperties>
</file>