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Взаимоотношения транспортных организаций при перевозке грузов, пассажиров и багажа разными видами транспорта по единому транспортному документу ( прямое смешанное сообщение ), а также порядок организации этих перевозок определяются соглашениями между организациями соответствующих видов транспорта, заключаемыми в соответствии с законом о прямых смешанных (комбинированных) перевозках.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788</dc:title>
  <dc:creator>АРБИТРАЖ! · arbi.ru</dc:creator>
  <cp:lastModifiedBy>АРБИТРАЖ!</cp:lastModifiedBy>
  <dcterms:created xsi:type="dcterms:W3CDTF">2026-10-23T14:34:08.483Z</dcterms:created>
</cp:coreProperties>
</file>