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797 ГК РФ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взыскать с грузоотправителя задолженность по оплате перевозки груза водным транспортом</w:t>
      </w:r>
    </w:p>
    <w:p>
      <w:pPr>
        <w:spacing w:after="120"/>
        <w:ind w:firstLine="709"/>
      </w:pPr>
      <w:r>
        <w:rPr>
          <w:sz w:val="24"/>
        </w:rPr>
        <w:t xml:space="preserve">- Грузоотправитель хочет взыскать убытки в связи с утратой (недостачей, повреждением) груза при перевозке водным транспортом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взыскать штраф (демередж) за сверхнормативный простой судна</w:t>
      </w:r>
    </w:p>
    <w:p>
      <w:pPr>
        <w:spacing w:after="120"/>
        <w:ind w:firstLine="709"/>
      </w:pPr>
      <w:r>
        <w:rPr>
          <w:sz w:val="24"/>
        </w:rPr>
        <w:t xml:space="preserve">1. До предъявления к перевозчику иска, вытекающего из перевозки груза, обязательно предъявление ему претензии в порядке , предусмотренном соответствующим транспортным уставом или кодексом.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797 во взаимосвязи с другими нормами признан частично не соответствующим Конституции РФ ( Постановление КС РФ от 16.12.2025 N 45-П). О правовом регулировании до внесения соответствующих изменений см. п. 4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срок.</w:t>
      </w:r>
    </w:p>
    <w:p>
      <w:pPr>
        <w:spacing w:after="120"/>
        <w:ind w:firstLine="709"/>
      </w:pPr>
      <w:r>
        <w:rPr>
          <w:sz w:val="24"/>
        </w:rPr>
        <w:t xml:space="preserve">3. Срок исковой давности по требованиям, вытекающим из перевозки груза, устанавливается в один год с момента, определяемого в соответствии с транспортными уставами и кодексами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797</dc:title>
  <dc:creator>АРБИТРАЖ! · arbi.ru</dc:creator>
  <cp:lastModifiedBy>АРБИТРАЖ!</cp:lastModifiedBy>
  <dcterms:created xsi:type="dcterms:W3CDTF">2026-10-22T20:22:15.323Z</dcterms:created>
</cp:coreProperties>
</file>